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lastRenderedPageBreak/>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 xml:space="preserve">utilisation de Bing Maps. Vous êtes uniquement autorisé à utiliser les contenus fournis via Bing Maps, notamment les géocodes, dans Power View ou Élément de rapport cartographique de SQL </w:t>
      </w:r>
      <w:r w:rsidR="00D35212" w:rsidRPr="00473683">
        <w:rPr>
          <w:b w:val="0"/>
          <w:bCs w:val="0"/>
          <w:sz w:val="20"/>
          <w:szCs w:val="20"/>
          <w:lang w:val="fr-FR"/>
        </w:rPr>
        <w:lastRenderedPageBreak/>
        <w:t>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lastRenderedPageBreak/>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044B26">
      <w:rPr>
        <w:noProof/>
        <w:sz w:val="18"/>
        <w:szCs w:val="18"/>
      </w:rPr>
      <w:t>1</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044B26">
      <w:rPr>
        <w:noProof/>
        <w:sz w:val="18"/>
        <w:szCs w:val="18"/>
      </w:rPr>
      <w:t>3</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revisionView w:markup="0"/>
  <w:doNotTrackMoves/>
  <w:documentProtection w:edit="forms" w:formatting="1" w:enforcement="1" w:cryptProviderType="rsaFull" w:cryptAlgorithmClass="hash" w:cryptAlgorithmType="typeAny" w:cryptAlgorithmSid="4" w:cryptSpinCount="100000" w:hash="plgObk7vOG2+6Qv0jZy3XDG/6o8=" w:salt="rV6bERjJu6hI88QtglhGm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4B26"/>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